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Style w:val="4"/>
          <w:rFonts w:hint="eastAsia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eastAsia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40G QSFP+ to 4x10G SFP+ Passive Copper Cables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Style w:val="4"/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</w:rPr>
      </w:pPr>
      <w:r>
        <w:rPr>
          <w:rStyle w:val="4"/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Features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jc w:val="right"/>
        <w:rPr>
          <w:rStyle w:val="4"/>
          <w:rFonts w:hint="eastAsia" w:ascii="Verdana" w:hAnsi="Verdana" w:eastAsia="宋体" w:cs="Verdana"/>
          <w:b w:val="0"/>
          <w:bCs/>
          <w:i w:val="0"/>
          <w:caps w:val="0"/>
          <w:color w:val="666666"/>
          <w:spacing w:val="0"/>
          <w:sz w:val="28"/>
          <w:szCs w:val="28"/>
          <w:highlight w:val="yellow"/>
          <w:shd w:val="clear" w:color="auto" w:fill="FFFFFF"/>
          <w:lang w:val="en-US" w:eastAsia="zh-CN"/>
        </w:rPr>
      </w:pPr>
      <w:r>
        <w:rPr>
          <w:rStyle w:val="4"/>
          <w:rFonts w:hint="eastAsia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highlight w:val="yellow"/>
          <w:shd w:val="clear" w:color="auto" w:fill="FFFFFF"/>
          <w:lang w:val="en-US" w:eastAsia="zh-CN"/>
        </w:rPr>
        <w:t>(产品图片)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Hybrid cable conforms to the Small Form Factor SFF-8436 and SFF-8431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Support for multi-gigabit data rates :1.0 Gbps - 10.3125 Gbps (per channel)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Maximum aggregate data rate: 41.25 Gbps (4 x 10.3125Gbit/s)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Hybrid cable link length up to 5m (passive limiting)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High-Density QSFP 38-PIN and 4x SFP 20-PIN Connector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Power Supply :+3.3V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Low power consumption: 0.02 W (typ.)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Temperature Range: 0~ 70 °C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Applications 40G QSFP+ to 4×10SFP+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10G/40Gigabit Ethernet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InfiniBand SDR, DDR, QDR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Switches, Routers, and HBAs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Data Centers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Fibre Channel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Style w:val="4"/>
          <w:rFonts w:hint="eastAsia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Style w:val="4"/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S</w:t>
      </w:r>
      <w:r>
        <w:rPr>
          <w:rStyle w:val="4"/>
          <w:rFonts w:hint="eastAsia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  <w:lang w:val="en-US" w:eastAsia="zh-CN"/>
        </w:rPr>
        <w:t>tandards Compliance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Style w:val="4"/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QSFP+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SFF-8436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QDR InfiniBand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QSFP+ MSA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RoHS Compliant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4"/>
          <w:szCs w:val="24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4"/>
          <w:szCs w:val="24"/>
          <w:shd w:val="clear" w:color="auto" w:fill="FFFFFF"/>
        </w:rPr>
        <w:t>SFP+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SFF-8431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SFP+ MSA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tabs>
          <w:tab w:val="left" w:pos="720"/>
        </w:tabs>
        <w:spacing w:before="100" w:beforeAutospacing="1" w:after="100" w:afterAutospacing="1" w:line="300" w:lineRule="atLeast"/>
        <w:ind w:left="420" w:leftChars="0" w:hanging="420" w:firstLineChars="0"/>
        <w:rPr>
          <w:rFonts w:hint="default" w:ascii="Verdana" w:hAnsi="Verdana" w:cs="Verdana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RoHS Compatible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</w:rPr>
      </w:pPr>
      <w:r>
        <w:rPr>
          <w:rStyle w:val="4"/>
          <w:rFonts w:hint="default" w:ascii="Verdana" w:hAnsi="Verdana" w:cs="Verdana"/>
          <w:b w:val="0"/>
          <w:bCs/>
          <w:i w:val="0"/>
          <w:caps w:val="0"/>
          <w:color w:val="666666"/>
          <w:spacing w:val="0"/>
          <w:sz w:val="28"/>
          <w:szCs w:val="28"/>
          <w:shd w:val="clear" w:color="auto" w:fill="FFFFFF"/>
        </w:rPr>
        <w:t>Product Description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The QSFP+ to 4x SFP+ Passive cable assemblies are high performance，cost effective for SFP+ and QSFP+ equipment interconnects . The Hybrid cables are compliant with SFF-8436 and SFF-8431 specifications. It is offer a low power consumption，short reach interconnect applications. The cable each lane is capable of transmitting data at rates up to 10Gb/s ,providing an aggregated rate of 40Gb/s.</w:t>
      </w:r>
    </w:p>
    <w:p>
      <w:pPr>
        <w:pStyle w:val="2"/>
        <w:keepNext w:val="0"/>
        <w:keepLines w:val="0"/>
        <w:widowControl/>
        <w:suppressLineNumbers w:val="0"/>
        <w:shd w:val="clear" w:color="auto" w:fill="FFFFFF"/>
        <w:spacing w:line="300" w:lineRule="atLeast"/>
        <w:ind w:left="0" w:firstLine="0"/>
        <w:rPr>
          <w:rFonts w:hint="default"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Style w:val="4"/>
          <w:rFonts w:hint="default" w:ascii="Verdana" w:hAnsi="Verdana" w:cs="Verdana"/>
          <w:i w:val="0"/>
          <w:caps w:val="0"/>
          <w:color w:val="666666"/>
          <w:spacing w:val="0"/>
          <w:sz w:val="21"/>
          <w:szCs w:val="21"/>
          <w:shd w:val="clear" w:color="auto" w:fill="FFFFFF"/>
        </w:rPr>
        <w:t>Ordering information</w:t>
      </w:r>
    </w:p>
    <w:tbl>
      <w:tblPr>
        <w:tblStyle w:val="5"/>
        <w:tblW w:w="830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5"/>
        <w:gridCol w:w="64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Style w:val="4"/>
                <w:rFonts w:hint="default" w:ascii="Verdana" w:hAnsi="Verdana" w:eastAsia="宋体" w:cs="Verdana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Part Number</w:t>
            </w:r>
          </w:p>
        </w:tc>
        <w:tc>
          <w:tcPr>
            <w:tcW w:w="641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666666"/>
                <w:spacing w:val="0"/>
                <w:sz w:val="21"/>
                <w:szCs w:val="21"/>
              </w:rPr>
              <w:t>Product Description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RB-4SFP+PC-01C</w:t>
            </w:r>
          </w:p>
        </w:tc>
        <w:tc>
          <w:tcPr>
            <w:tcW w:w="641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QSFP+ To 4X SFP+ Direct Attach Cables, 1m (30AWG),0ºC ~ +70ºC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RB-4SFP+PC-03C</w:t>
            </w:r>
          </w:p>
        </w:tc>
        <w:tc>
          <w:tcPr>
            <w:tcW w:w="641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QSFP+ To 4X SFP+ Direct Attach Cables, 3m (30AWG),0ºC ~ +70ºC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95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RB-4SFP+PC-05C</w:t>
            </w:r>
          </w:p>
        </w:tc>
        <w:tc>
          <w:tcPr>
            <w:tcW w:w="641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  <w:t>QSFP+ To 4X SFP+ Direct Attach Cables, 5m (28AWG),0ºC ~ +70ºC</w:t>
            </w:r>
          </w:p>
        </w:tc>
      </w:tr>
    </w:tbl>
    <w:p>
      <w:pPr>
        <w:spacing w:line="0" w:lineRule="atLeast"/>
        <w:rPr>
          <w:rFonts w:ascii="Verdana" w:hAnsi="Verdana" w:eastAsia="宋体" w:cs="Verdana"/>
          <w:b/>
          <w:i w:val="0"/>
          <w:caps w:val="0"/>
          <w:color w:val="336699"/>
          <w:spacing w:val="0"/>
          <w:sz w:val="27"/>
          <w:szCs w:val="27"/>
          <w:shd w:val="clear" w:color="auto" w:fill="E6E6E6"/>
        </w:rPr>
      </w:pPr>
    </w:p>
    <w:p>
      <w:pPr>
        <w:spacing w:line="0" w:lineRule="atLeast"/>
        <w:rPr>
          <w:rFonts w:ascii="Verdana" w:hAnsi="Verdana" w:eastAsia="Arial" w:cs="Verdana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JIGIGF+TimesNewRoman,Bold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rutigerLTStd-Bol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LTStd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pen S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">
    <w:altName w:val="Palatino Linotype"/>
    <w:panose1 w:val="02000500000000000000"/>
    <w:charset w:val="00"/>
    <w:family w:val="auto"/>
    <w:pitch w:val="default"/>
    <w:sig w:usb0="00000000" w:usb1="00000000" w:usb2="14600000" w:usb3="00000000" w:csb0="00000193" w:csb1="00000000"/>
  </w:font>
  <w:font w:name="ArialMT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">
    <w:altName w:val="Kozuka Mincho Pr6N M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Kozuka Mincho Pr6N M">
    <w:panose1 w:val="02020600000000000000"/>
    <w:charset w:val="80"/>
    <w:family w:val="auto"/>
    <w:pitch w:val="default"/>
    <w:sig w:usb0="000002D7" w:usb1="2AC71C11" w:usb2="00000012" w:usb3="00000000" w:csb0="2002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0B91"/>
    <w:multiLevelType w:val="singleLevel"/>
    <w:tmpl w:val="58400B91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4FBC"/>
    <w:rsid w:val="0E984F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2016-12-01T10:26:00Z</dcterms:created>
  <dc:creator>Administrator</dc:creator>
  <cp:lastModifiedBy>Administrator</cp:lastModifiedBy>
  <dcterms:modified xsi:type="dcterms:W3CDTF">2016-12-01T10:29:20Z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